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罗平县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县级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“三公”经费决算支出情况说明</w:t>
      </w:r>
    </w:p>
    <w:p>
      <w:pPr>
        <w:spacing w:line="60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仿宋"/>
          <w:sz w:val="28"/>
          <w:szCs w:val="30"/>
          <w:lang w:val="en-US" w:eastAsia="zh-CN"/>
        </w:rPr>
      </w:pPr>
      <w:r>
        <w:rPr>
          <w:rFonts w:ascii="Times New Roman" w:hAnsi="Times New Roman" w:eastAsia="仿宋"/>
          <w:sz w:val="28"/>
          <w:szCs w:val="30"/>
        </w:rPr>
        <w:t>根据国务院</w:t>
      </w:r>
      <w:r>
        <w:rPr>
          <w:rFonts w:hint="eastAsia" w:ascii="Times New Roman" w:hAnsi="Times New Roman" w:eastAsia="仿宋"/>
          <w:sz w:val="28"/>
          <w:szCs w:val="30"/>
        </w:rPr>
        <w:t>、</w:t>
      </w:r>
      <w:r>
        <w:rPr>
          <w:rFonts w:ascii="Times New Roman" w:hAnsi="Times New Roman" w:eastAsia="仿宋"/>
          <w:sz w:val="28"/>
          <w:szCs w:val="30"/>
        </w:rPr>
        <w:t>省</w:t>
      </w:r>
      <w:r>
        <w:rPr>
          <w:rFonts w:hint="eastAsia" w:ascii="Times New Roman" w:hAnsi="Times New Roman" w:eastAsia="仿宋"/>
          <w:sz w:val="28"/>
          <w:szCs w:val="30"/>
        </w:rPr>
        <w:t>、市、县</w:t>
      </w:r>
      <w:r>
        <w:rPr>
          <w:rFonts w:ascii="Times New Roman" w:hAnsi="Times New Roman" w:eastAsia="仿宋"/>
          <w:sz w:val="28"/>
          <w:szCs w:val="30"/>
        </w:rPr>
        <w:t>关于推进政府预决算信息公开的决策部署和</w:t>
      </w:r>
      <w:r>
        <w:rPr>
          <w:rFonts w:hint="eastAsia" w:ascii="Times New Roman" w:hAnsi="Times New Roman" w:eastAsia="仿宋"/>
          <w:sz w:val="28"/>
          <w:szCs w:val="30"/>
        </w:rPr>
        <w:t>县</w:t>
      </w:r>
      <w:r>
        <w:rPr>
          <w:rFonts w:ascii="Times New Roman" w:hAnsi="Times New Roman" w:eastAsia="仿宋"/>
          <w:sz w:val="28"/>
          <w:szCs w:val="30"/>
        </w:rPr>
        <w:t>人民政府工作安排，经</w:t>
      </w:r>
      <w:r>
        <w:rPr>
          <w:rFonts w:hint="eastAsia" w:ascii="Times New Roman" w:hAnsi="Times New Roman" w:eastAsia="仿宋"/>
          <w:sz w:val="28"/>
          <w:szCs w:val="30"/>
        </w:rPr>
        <w:t>罗平县</w:t>
      </w:r>
      <w:r>
        <w:rPr>
          <w:rFonts w:ascii="Times New Roman" w:hAnsi="Times New Roman" w:eastAsia="仿宋"/>
          <w:sz w:val="28"/>
          <w:szCs w:val="30"/>
        </w:rPr>
        <w:t>财政局部门决算汇总</w:t>
      </w:r>
      <w:r>
        <w:rPr>
          <w:rFonts w:hint="eastAsia" w:ascii="Times New Roman" w:hAnsi="Times New Roman" w:eastAsia="仿宋"/>
          <w:sz w:val="28"/>
          <w:szCs w:val="30"/>
        </w:rPr>
        <w:t>、县</w:t>
      </w:r>
      <w:r>
        <w:rPr>
          <w:rFonts w:ascii="Times New Roman" w:hAnsi="Times New Roman" w:eastAsia="仿宋"/>
          <w:sz w:val="28"/>
          <w:szCs w:val="30"/>
        </w:rPr>
        <w:t>人民政府审定，现将</w:t>
      </w:r>
      <w:r>
        <w:rPr>
          <w:rFonts w:hint="eastAsia" w:ascii="Times New Roman" w:hAnsi="Times New Roman" w:eastAsia="仿宋"/>
          <w:sz w:val="28"/>
          <w:szCs w:val="30"/>
        </w:rPr>
        <w:t>罗平县</w:t>
      </w:r>
      <w:r>
        <w:rPr>
          <w:rFonts w:ascii="Times New Roman" w:hAnsi="Times New Roman" w:eastAsia="仿宋"/>
          <w:sz w:val="28"/>
          <w:szCs w:val="30"/>
        </w:rPr>
        <w:t>本级行政事业单位以及其他使用一般公共预算财政拨款安排“三公”经费单位</w:t>
      </w:r>
      <w:r>
        <w:rPr>
          <w:rFonts w:hint="eastAsia" w:ascii="Times New Roman" w:hAnsi="Times New Roman" w:eastAsia="仿宋"/>
          <w:sz w:val="28"/>
          <w:szCs w:val="30"/>
          <w:lang w:eastAsia="zh-CN"/>
        </w:rPr>
        <w:t>2022</w:t>
      </w:r>
      <w:r>
        <w:rPr>
          <w:rFonts w:ascii="Times New Roman" w:hAnsi="Times New Roman" w:eastAsia="仿宋"/>
          <w:sz w:val="28"/>
          <w:szCs w:val="30"/>
        </w:rPr>
        <w:t>年“三公”经费决算支出情况公开如下：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szCs w:val="30"/>
          <w:lang w:eastAsia="zh-CN"/>
        </w:rPr>
      </w:pPr>
      <w:r>
        <w:rPr>
          <w:rFonts w:hint="eastAsia" w:ascii="Times New Roman" w:hAnsi="Times New Roman" w:eastAsia="仿宋"/>
          <w:sz w:val="28"/>
          <w:szCs w:val="30"/>
          <w:lang w:eastAsia="zh-CN"/>
        </w:rPr>
        <w:t>2022</w:t>
      </w:r>
      <w:r>
        <w:rPr>
          <w:rFonts w:hint="eastAsia" w:ascii="Times New Roman" w:hAnsi="Times New Roman" w:eastAsia="仿宋"/>
          <w:sz w:val="28"/>
          <w:szCs w:val="30"/>
        </w:rPr>
        <w:t>年云南省曲靖市罗平县本级</w:t>
      </w:r>
      <w:r>
        <w:rPr>
          <w:rFonts w:ascii="Times New Roman" w:hAnsi="Times New Roman" w:eastAsia="仿宋"/>
          <w:sz w:val="28"/>
          <w:szCs w:val="30"/>
        </w:rPr>
        <w:t>一般公共预算财政拨款“三公”经费支出决算汇总数为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933.41</w:t>
      </w:r>
      <w:r>
        <w:rPr>
          <w:rFonts w:ascii="Times New Roman" w:hAnsi="Times New Roman" w:eastAsia="仿宋"/>
          <w:sz w:val="28"/>
          <w:szCs w:val="30"/>
        </w:rPr>
        <w:t>万元，</w:t>
      </w:r>
      <w:r>
        <w:rPr>
          <w:rFonts w:hint="eastAsia" w:ascii="仿宋_GB2312" w:hAnsi="Calibri" w:eastAsia="仿宋" w:cs="仿宋_GB2312"/>
          <w:i w:val="0"/>
          <w:caps w:val="0"/>
          <w:color w:val="000000"/>
          <w:spacing w:val="0"/>
          <w:kern w:val="0"/>
          <w:sz w:val="28"/>
          <w:szCs w:val="32"/>
          <w:lang w:val="en-US" w:eastAsia="zh-CN" w:bidi="ar"/>
        </w:rPr>
        <w:t>上年支出</w:t>
      </w:r>
      <w:r>
        <w:rPr>
          <w:rFonts w:hint="eastAsia" w:ascii="仿宋_GB2312" w:eastAsia="仿宋" w:cs="仿宋_GB2312"/>
          <w:i w:val="0"/>
          <w:caps w:val="0"/>
          <w:color w:val="000000"/>
          <w:spacing w:val="0"/>
          <w:kern w:val="0"/>
          <w:sz w:val="28"/>
          <w:szCs w:val="32"/>
          <w:lang w:val="en-US" w:eastAsia="zh-CN" w:bidi="ar"/>
        </w:rPr>
        <w:t>1198.36</w:t>
      </w:r>
      <w:r>
        <w:rPr>
          <w:rFonts w:hint="eastAsia" w:ascii="仿宋_GB2312" w:hAnsi="Calibri" w:eastAsia="仿宋" w:cs="仿宋_GB2312"/>
          <w:i w:val="0"/>
          <w:caps w:val="0"/>
          <w:color w:val="000000"/>
          <w:spacing w:val="0"/>
          <w:kern w:val="0"/>
          <w:sz w:val="28"/>
          <w:szCs w:val="32"/>
          <w:lang w:val="en-US" w:eastAsia="zh-CN" w:bidi="ar"/>
        </w:rPr>
        <w:t>万元，减少了</w:t>
      </w:r>
      <w:r>
        <w:rPr>
          <w:rFonts w:hint="eastAsia" w:ascii="仿宋_GB2312" w:eastAsia="仿宋" w:cs="仿宋_GB2312"/>
          <w:i w:val="0"/>
          <w:caps w:val="0"/>
          <w:color w:val="000000"/>
          <w:spacing w:val="0"/>
          <w:kern w:val="0"/>
          <w:sz w:val="28"/>
          <w:szCs w:val="32"/>
          <w:lang w:val="en-US" w:eastAsia="zh-CN" w:bidi="ar"/>
        </w:rPr>
        <w:t>265.96</w:t>
      </w:r>
      <w:r>
        <w:rPr>
          <w:rFonts w:hint="eastAsia" w:ascii="仿宋_GB2312" w:hAnsi="Calibri" w:eastAsia="仿宋" w:cs="仿宋_GB2312"/>
          <w:i w:val="0"/>
          <w:caps w:val="0"/>
          <w:color w:val="000000"/>
          <w:spacing w:val="0"/>
          <w:kern w:val="0"/>
          <w:sz w:val="28"/>
          <w:szCs w:val="32"/>
          <w:lang w:val="en-US" w:eastAsia="zh-CN" w:bidi="ar"/>
        </w:rPr>
        <w:t>万元，</w:t>
      </w:r>
      <w:r>
        <w:rPr>
          <w:rFonts w:ascii="Times New Roman" w:hAnsi="Times New Roman" w:eastAsia="仿宋"/>
          <w:sz w:val="28"/>
          <w:szCs w:val="30"/>
        </w:rPr>
        <w:t>下降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22.11</w:t>
      </w:r>
      <w:r>
        <w:rPr>
          <w:rFonts w:ascii="Times New Roman" w:hAnsi="Times New Roman" w:eastAsia="仿宋"/>
          <w:sz w:val="28"/>
          <w:szCs w:val="30"/>
        </w:rPr>
        <w:t>%</w:t>
      </w:r>
      <w:r>
        <w:rPr>
          <w:rFonts w:hint="eastAsia" w:ascii="Times New Roman" w:hAnsi="Times New Roman" w:eastAsia="仿宋"/>
          <w:sz w:val="28"/>
          <w:szCs w:val="30"/>
        </w:rPr>
        <w:t>，</w:t>
      </w:r>
      <w:r>
        <w:rPr>
          <w:rFonts w:ascii="Times New Roman" w:hAnsi="Times New Roman" w:eastAsia="仿宋"/>
          <w:sz w:val="28"/>
          <w:szCs w:val="30"/>
        </w:rPr>
        <w:t>因公出国（境）费</w:t>
      </w:r>
      <w:r>
        <w:rPr>
          <w:rFonts w:hint="eastAsia" w:ascii="Times New Roman" w:hAnsi="Times New Roman" w:eastAsia="仿宋"/>
          <w:sz w:val="28"/>
          <w:szCs w:val="30"/>
        </w:rPr>
        <w:t>未发生。</w:t>
      </w:r>
      <w:r>
        <w:rPr>
          <w:rFonts w:ascii="Times New Roman" w:hAnsi="Times New Roman" w:eastAsia="仿宋"/>
          <w:sz w:val="28"/>
          <w:szCs w:val="30"/>
        </w:rPr>
        <w:t>其中：公务接待费为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217.11</w:t>
      </w:r>
      <w:r>
        <w:rPr>
          <w:rFonts w:ascii="Times New Roman" w:hAnsi="Times New Roman" w:eastAsia="仿宋"/>
          <w:sz w:val="28"/>
          <w:szCs w:val="30"/>
        </w:rPr>
        <w:t>万元，较上年</w:t>
      </w:r>
      <w:r>
        <w:rPr>
          <w:rFonts w:hint="eastAsia" w:ascii="Times New Roman" w:hAnsi="Times New Roman" w:eastAsia="仿宋"/>
          <w:sz w:val="28"/>
          <w:szCs w:val="30"/>
        </w:rPr>
        <w:t>减少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265.41</w:t>
      </w:r>
      <w:r>
        <w:rPr>
          <w:rFonts w:ascii="Times New Roman" w:hAnsi="Times New Roman" w:eastAsia="仿宋"/>
          <w:sz w:val="28"/>
          <w:szCs w:val="30"/>
        </w:rPr>
        <w:t>万元，</w:t>
      </w:r>
      <w:r>
        <w:rPr>
          <w:rFonts w:hint="eastAsia" w:ascii="Times New Roman" w:hAnsi="Times New Roman" w:eastAsia="仿宋"/>
          <w:sz w:val="28"/>
          <w:szCs w:val="30"/>
        </w:rPr>
        <w:t>下降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55</w:t>
      </w:r>
      <w:r>
        <w:rPr>
          <w:rFonts w:ascii="Times New Roman" w:hAnsi="Times New Roman" w:eastAsia="仿宋"/>
          <w:sz w:val="28"/>
          <w:szCs w:val="30"/>
        </w:rPr>
        <w:t>%</w:t>
      </w:r>
      <w:r>
        <w:rPr>
          <w:rFonts w:hint="eastAsia" w:ascii="Times New Roman" w:hAnsi="Times New Roman" w:eastAsia="仿宋"/>
          <w:sz w:val="28"/>
          <w:szCs w:val="30"/>
        </w:rPr>
        <w:t>；</w:t>
      </w:r>
      <w:r>
        <w:rPr>
          <w:rFonts w:ascii="Times New Roman" w:hAnsi="Times New Roman" w:eastAsia="仿宋"/>
          <w:sz w:val="28"/>
          <w:szCs w:val="30"/>
        </w:rPr>
        <w:t>国内公务接待批次为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2983</w:t>
      </w:r>
      <w:r>
        <w:rPr>
          <w:rFonts w:hint="eastAsia" w:ascii="Times New Roman" w:hAnsi="Times New Roman" w:eastAsia="仿宋"/>
          <w:sz w:val="28"/>
          <w:szCs w:val="30"/>
        </w:rPr>
        <w:t>批</w:t>
      </w:r>
      <w:r>
        <w:rPr>
          <w:rFonts w:ascii="Times New Roman" w:hAnsi="Times New Roman" w:eastAsia="仿宋"/>
          <w:sz w:val="28"/>
          <w:szCs w:val="30"/>
        </w:rPr>
        <w:t>次</w:t>
      </w:r>
      <w:r>
        <w:rPr>
          <w:rFonts w:hint="eastAsia" w:ascii="Times New Roman" w:hAnsi="Times New Roman" w:eastAsia="仿宋"/>
          <w:sz w:val="28"/>
          <w:szCs w:val="30"/>
        </w:rPr>
        <w:t>（个）</w:t>
      </w:r>
      <w:r>
        <w:rPr>
          <w:rFonts w:ascii="Times New Roman" w:hAnsi="Times New Roman" w:eastAsia="仿宋"/>
          <w:sz w:val="28"/>
          <w:szCs w:val="30"/>
        </w:rPr>
        <w:t>，共计接待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27004</w:t>
      </w:r>
      <w:r>
        <w:rPr>
          <w:rFonts w:ascii="Times New Roman" w:hAnsi="Times New Roman" w:eastAsia="仿宋"/>
          <w:sz w:val="28"/>
          <w:szCs w:val="30"/>
        </w:rPr>
        <w:t>人次</w:t>
      </w:r>
      <w:r>
        <w:rPr>
          <w:rFonts w:hint="eastAsia" w:ascii="Times New Roman" w:hAnsi="Times New Roman" w:eastAsia="仿宋"/>
          <w:sz w:val="28"/>
          <w:szCs w:val="30"/>
        </w:rPr>
        <w:t>（人）；</w:t>
      </w:r>
      <w:r>
        <w:rPr>
          <w:rFonts w:ascii="Times New Roman" w:hAnsi="Times New Roman" w:eastAsia="仿宋"/>
          <w:sz w:val="28"/>
          <w:szCs w:val="30"/>
        </w:rPr>
        <w:t>公务用车购置及运行维护费为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716.3</w:t>
      </w:r>
      <w:r>
        <w:rPr>
          <w:rFonts w:ascii="Times New Roman" w:hAnsi="Times New Roman" w:eastAsia="仿宋"/>
          <w:sz w:val="28"/>
          <w:szCs w:val="30"/>
        </w:rPr>
        <w:t>万元，较上年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增加0.47</w:t>
      </w:r>
      <w:r>
        <w:rPr>
          <w:rFonts w:ascii="Times New Roman" w:hAnsi="Times New Roman" w:eastAsia="仿宋"/>
          <w:sz w:val="28"/>
          <w:szCs w:val="30"/>
        </w:rPr>
        <w:t>万元，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增加0.07</w:t>
      </w:r>
      <w:r>
        <w:rPr>
          <w:rFonts w:ascii="Times New Roman" w:hAnsi="Times New Roman" w:eastAsia="仿宋"/>
          <w:sz w:val="28"/>
          <w:szCs w:val="30"/>
        </w:rPr>
        <w:t>%</w:t>
      </w:r>
      <w:r>
        <w:rPr>
          <w:rFonts w:hint="eastAsia" w:ascii="Times New Roman" w:hAnsi="Times New Roman" w:eastAsia="仿宋"/>
          <w:sz w:val="28"/>
          <w:szCs w:val="30"/>
          <w:lang w:eastAsia="zh-CN"/>
        </w:rPr>
        <w:t>，</w:t>
      </w:r>
      <w:r>
        <w:rPr>
          <w:rFonts w:ascii="Times New Roman" w:hAnsi="Times New Roman" w:eastAsia="仿宋"/>
          <w:sz w:val="28"/>
          <w:szCs w:val="30"/>
        </w:rPr>
        <w:t>其中：公务用车购置费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81.2万元</w:t>
      </w:r>
      <w:r>
        <w:rPr>
          <w:rFonts w:ascii="Times New Roman" w:hAnsi="Times New Roman" w:eastAsia="仿宋"/>
          <w:sz w:val="28"/>
          <w:szCs w:val="30"/>
        </w:rPr>
        <w:t>，较上年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增加28.54</w:t>
      </w:r>
      <w:r>
        <w:rPr>
          <w:rFonts w:ascii="Times New Roman" w:hAnsi="Times New Roman" w:eastAsia="仿宋"/>
          <w:sz w:val="28"/>
          <w:szCs w:val="30"/>
        </w:rPr>
        <w:t>万元，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增加54.2</w:t>
      </w:r>
      <w:r>
        <w:rPr>
          <w:rFonts w:ascii="Times New Roman" w:hAnsi="Times New Roman" w:eastAsia="仿宋"/>
          <w:sz w:val="28"/>
          <w:szCs w:val="30"/>
        </w:rPr>
        <w:t>%</w:t>
      </w:r>
      <w:r>
        <w:rPr>
          <w:rFonts w:hint="eastAsia" w:ascii="Times New Roman" w:hAnsi="Times New Roman" w:eastAsia="仿宋"/>
          <w:sz w:val="28"/>
          <w:szCs w:val="30"/>
          <w:lang w:eastAsia="zh-CN"/>
        </w:rPr>
        <w:t>，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导致公务用车购置费比上年增加的主要原因是</w:t>
      </w:r>
      <w:r>
        <w:rPr>
          <w:rFonts w:hint="eastAsia" w:ascii="Times New Roman" w:hAnsi="Times New Roman" w:eastAsia="仿宋"/>
          <w:sz w:val="28"/>
          <w:szCs w:val="30"/>
        </w:rPr>
        <w:t>曲靖市罗平县公安局本年因工作需要，执法执勤任务繁重，新购置5辆上汽大通牌执法执勤用车，购买日期为2022年8月24日，车辆性质（用途）为执法执勤用车，车辆型号为SH6482N1GC上汽大通G50小型载客汽车，排量1.5T，车辆单价11.24万元，共5辆，总价值56.20万元；曲靖市罗平县公安局交通警察大队因执法</w:t>
      </w:r>
      <w:r>
        <w:rPr>
          <w:rFonts w:hint="eastAsia" w:ascii="仿宋_GB2312" w:hAnsi="Calibri" w:eastAsia="仿宋" w:cs="仿宋_GB2312"/>
          <w:color w:val="000000" w:themeColor="text1"/>
          <w:kern w:val="0"/>
          <w:sz w:val="28"/>
          <w:szCs w:val="32"/>
          <w:lang w:bidi="ar"/>
          <w14:textFill>
            <w14:solidFill>
              <w14:schemeClr w14:val="tx1"/>
            </w14:solidFill>
          </w14:textFill>
        </w:rPr>
        <w:t>执勤车辆老化，无法开展工作，于2022年5月11日新购置执法执勤用车3辆，分别是：车辆型号为VOLKSWAGEN SVW71512AF的大众牌轿车2辆，排量为1.5L，车辆性质（用途）为执法执勤用车，单价为6.61万元；车辆型号为SH6482N1GC大通牌小型载客汽车1辆，排量为1.5L，车辆性质（用途）为执法执勤用车，单价为</w:t>
      </w:r>
      <w:r>
        <w:rPr>
          <w:rFonts w:hint="eastAsia" w:ascii="仿宋" w:hAnsi="仿宋" w:eastAsia="仿宋" w:cs="仿宋"/>
          <w:sz w:val="28"/>
          <w:szCs w:val="32"/>
        </w:rPr>
        <w:t>11.78</w:t>
      </w:r>
      <w:r>
        <w:rPr>
          <w:rFonts w:hint="eastAsia" w:ascii="仿宋_GB2312" w:hAnsi="Calibri" w:eastAsia="仿宋" w:cs="仿宋_GB2312"/>
          <w:color w:val="000000" w:themeColor="text1"/>
          <w:kern w:val="0"/>
          <w:sz w:val="28"/>
          <w:szCs w:val="32"/>
          <w:lang w:bidi="ar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_GB2312" w:hAnsi="Calibri" w:eastAsia="仿宋" w:cs="仿宋_GB2312"/>
          <w:color w:val="000000" w:themeColor="text1"/>
          <w:kern w:val="0"/>
          <w:sz w:val="28"/>
          <w:szCs w:val="32"/>
          <w:u w:val="none"/>
          <w:lang w:bidi="ar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eastAsia="仿宋" w:cs="仿宋_GB2312"/>
          <w:color w:val="000000" w:themeColor="text1"/>
          <w:kern w:val="0"/>
          <w:sz w:val="28"/>
          <w:szCs w:val="32"/>
          <w:u w:val="none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"/>
          <w:sz w:val="28"/>
          <w:szCs w:val="30"/>
        </w:rPr>
        <w:t>公务用车运行维护费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635.1</w:t>
      </w:r>
      <w:r>
        <w:rPr>
          <w:rFonts w:ascii="Times New Roman" w:hAnsi="Times New Roman" w:eastAsia="仿宋"/>
          <w:sz w:val="28"/>
          <w:szCs w:val="30"/>
        </w:rPr>
        <w:t>万元，较上年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减少28.07</w:t>
      </w:r>
      <w:r>
        <w:rPr>
          <w:rFonts w:ascii="Times New Roman" w:hAnsi="Times New Roman" w:eastAsia="仿宋"/>
          <w:sz w:val="28"/>
          <w:szCs w:val="30"/>
        </w:rPr>
        <w:t>万元，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下降4.23</w:t>
      </w:r>
      <w:r>
        <w:rPr>
          <w:rFonts w:ascii="Times New Roman" w:hAnsi="Times New Roman" w:eastAsia="仿宋"/>
          <w:sz w:val="28"/>
          <w:szCs w:val="30"/>
        </w:rPr>
        <w:t>%</w:t>
      </w:r>
      <w:r>
        <w:rPr>
          <w:rFonts w:hint="eastAsia" w:ascii="Times New Roman" w:hAnsi="Times New Roman" w:eastAsia="仿宋"/>
          <w:sz w:val="28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黑体" w:hAnsi="黑体" w:eastAsia="黑体" w:cs="黑体"/>
          <w:bCs/>
          <w:sz w:val="30"/>
          <w:szCs w:val="32"/>
        </w:rPr>
      </w:pPr>
      <w:r>
        <w:rPr>
          <w:rFonts w:hint="eastAsia" w:ascii="Times New Roman" w:hAnsi="Times New Roman" w:eastAsia="仿宋"/>
          <w:sz w:val="28"/>
          <w:szCs w:val="30"/>
        </w:rPr>
        <w:t>罗平县</w:t>
      </w:r>
      <w:r>
        <w:rPr>
          <w:rFonts w:ascii="Times New Roman" w:hAnsi="Times New Roman" w:eastAsia="仿宋"/>
          <w:sz w:val="28"/>
          <w:szCs w:val="30"/>
        </w:rPr>
        <w:t>严格执行中央八项规定和</w:t>
      </w:r>
      <w:r>
        <w:rPr>
          <w:rFonts w:hint="eastAsia" w:ascii="Times New Roman" w:hAnsi="Times New Roman" w:eastAsia="仿宋"/>
          <w:sz w:val="28"/>
          <w:szCs w:val="30"/>
        </w:rPr>
        <w:t>《党政机关厉行节约反对浪费条例》等有关文件精神，</w:t>
      </w:r>
      <w:bookmarkStart w:id="0" w:name="_GoBack"/>
      <w:bookmarkEnd w:id="0"/>
      <w:r>
        <w:rPr>
          <w:rFonts w:hint="eastAsia" w:ascii="Times New Roman" w:hAnsi="Times New Roman" w:eastAsia="仿宋"/>
          <w:sz w:val="28"/>
          <w:szCs w:val="30"/>
        </w:rPr>
        <w:t>进一步加强“三公”经费管理，硬化预算约束，切实从源头控制“三公”经费，细化“三公”经费预算管理，严格控制审批因公出国（境）团组数及人数；强化公务用车总量控制，加强公务用车购置经费管理；严格落实各项公务接待制度，从严控制公务接待费用。</w:t>
      </w:r>
      <w:r>
        <w:rPr>
          <w:rFonts w:hint="eastAsia" w:ascii="Times New Roman" w:hAnsi="Times New Roman" w:eastAsia="仿宋"/>
          <w:sz w:val="28"/>
          <w:szCs w:val="30"/>
          <w:lang w:eastAsia="zh-CN"/>
        </w:rPr>
        <w:t>2022</w:t>
      </w:r>
      <w:r>
        <w:rPr>
          <w:rFonts w:hint="eastAsia" w:ascii="Times New Roman" w:hAnsi="Times New Roman" w:eastAsia="仿宋"/>
          <w:sz w:val="28"/>
          <w:szCs w:val="30"/>
        </w:rPr>
        <w:t>年“三公”经费决算汇总数较上年下降，达到了中央“只减不增”的要求</w:t>
      </w:r>
      <w:r>
        <w:rPr>
          <w:rFonts w:hint="eastAsia" w:ascii="Times New Roman" w:hAnsi="Times New Roman" w:eastAsia="仿宋"/>
          <w:sz w:val="28"/>
          <w:szCs w:val="30"/>
          <w:lang w:eastAsia="zh-CN"/>
        </w:rPr>
        <w:t>。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我</w:t>
      </w:r>
      <w:r>
        <w:rPr>
          <w:rFonts w:hint="eastAsia" w:ascii="Times New Roman" w:hAnsi="Times New Roman" w:eastAsia="仿宋"/>
          <w:sz w:val="28"/>
          <w:szCs w:val="30"/>
        </w:rPr>
        <w:t>县“三公”经费除公务用车购置费支出略有增长外，其他分项以及接待批次和人次都呈现下降趋势，其主要原因是受到新冠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感染</w:t>
      </w:r>
      <w:r>
        <w:rPr>
          <w:rFonts w:hint="eastAsia" w:ascii="Times New Roman" w:hAnsi="Times New Roman" w:eastAsia="仿宋"/>
          <w:sz w:val="28"/>
          <w:szCs w:val="30"/>
        </w:rPr>
        <w:t>疫情的影响，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在</w:t>
      </w:r>
      <w:r>
        <w:rPr>
          <w:rFonts w:hint="eastAsia" w:ascii="Times New Roman" w:hAnsi="Times New Roman" w:eastAsia="仿宋"/>
          <w:sz w:val="28"/>
          <w:szCs w:val="30"/>
        </w:rPr>
        <w:t>开展“7个专项行动”，倡导健康文明生活“六条新风尚”的前提下，全县人民都在尽量减少集体活动，减少了很多不必要的接待，减少了很多不必要的出差和下乡活动。同时，受到我县财力的影响，大</w:t>
      </w:r>
      <w:r>
        <w:rPr>
          <w:rFonts w:hint="eastAsia" w:ascii="Times New Roman" w:hAnsi="Times New Roman" w:eastAsia="仿宋"/>
          <w:sz w:val="28"/>
          <w:szCs w:val="30"/>
          <w:lang w:val="en-US" w:eastAsia="zh-CN"/>
        </w:rPr>
        <w:t>部分</w:t>
      </w:r>
      <w:r>
        <w:rPr>
          <w:rFonts w:hint="eastAsia" w:ascii="Times New Roman" w:hAnsi="Times New Roman" w:eastAsia="仿宋"/>
          <w:sz w:val="28"/>
          <w:szCs w:val="30"/>
        </w:rPr>
        <w:t>单位的“三公”经费均没有拨付到位</w:t>
      </w:r>
      <w:r>
        <w:rPr>
          <w:rFonts w:hint="eastAsia" w:ascii="Times New Roman" w:hAnsi="Times New Roman" w:eastAsia="仿宋"/>
          <w:sz w:val="28"/>
          <w:szCs w:val="30"/>
          <w:lang w:eastAsia="zh-CN"/>
        </w:rPr>
        <w:t>。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附表1：云南省曲靖市罗平县本级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2022</w:t>
      </w:r>
      <w:r>
        <w:rPr>
          <w:rFonts w:hint="eastAsia" w:ascii="黑体" w:hAnsi="黑体" w:eastAsia="黑体" w:cs="黑体"/>
          <w:bCs/>
          <w:sz w:val="32"/>
          <w:szCs w:val="32"/>
        </w:rPr>
        <w:t>年“三公”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经费决算数对比情况表</w:t>
      </w:r>
    </w:p>
    <w:tbl>
      <w:tblPr>
        <w:tblStyle w:val="4"/>
        <w:tblW w:w="81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9"/>
        <w:gridCol w:w="1134"/>
        <w:gridCol w:w="956"/>
        <w:gridCol w:w="1191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  目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2021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年</w:t>
            </w:r>
          </w:p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决算数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年</w:t>
            </w:r>
          </w:p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决算数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较上年增减情况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增、减额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增、减幅度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1198.36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933.41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264.95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22.11%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1、因公出国（境）费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2、公务接待费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482.52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217.11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-265.41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55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3、公务用车费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715.83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716.3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0.47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0.07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  其中：（1）公务用车购置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52.66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81.2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28.54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54.2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150" w:leftChars="500" w:hanging="100" w:hangingChars="50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（2）公务用车运行维护费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663.17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635.1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-28.07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-4.23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%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附表2：云南省曲靖市罗平县本级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2022</w:t>
      </w:r>
      <w:r>
        <w:rPr>
          <w:rFonts w:hint="eastAsia" w:ascii="黑体" w:hAnsi="黑体" w:eastAsia="黑体" w:cs="黑体"/>
          <w:bCs/>
          <w:sz w:val="32"/>
          <w:szCs w:val="32"/>
        </w:rPr>
        <w:t>年“三公”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经费决算数汇总表</w:t>
      </w:r>
    </w:p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9"/>
        <w:gridCol w:w="4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944"/>
              </w:tabs>
              <w:ind w:firstLine="3400" w:firstLineChars="170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  目</w:t>
            </w:r>
          </w:p>
        </w:tc>
        <w:tc>
          <w:tcPr>
            <w:tcW w:w="4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>2022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年</w:t>
            </w:r>
          </w:p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933.41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1、因公出国（境）费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2、公务接待费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217.11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3、公务用车费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716.3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  其中：（1）公务用车购置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81.2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150" w:leftChars="500" w:hanging="100" w:hangingChars="50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（2）公务用车运行维护费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635.1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4、“三公”经费实物量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00" w:firstLineChars="150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（1）因公出国（境）团组数（人）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00" w:firstLineChars="150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（2））因公出国（境）人数（人）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00" w:firstLineChars="150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（3）公务用车购置数（辆）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300" w:firstLineChars="150"/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（4）公务用车保有量（辆）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300" w:firstLineChars="150"/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（5）国内公务接待批次（人）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2983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300" w:firstLineChars="150"/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（5）国内公务接待人次（人）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27004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“三公”经费口径说明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1、按照党中央、国务院有关文件及部门预算管理有关规定，“三公”经费包括因公出国（境）费、公务用车购置及运行维护费和公务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接待</w:t>
      </w:r>
      <w:r>
        <w:rPr>
          <w:rFonts w:hint="eastAsia" w:ascii="仿宋_GB2312" w:eastAsia="仿宋_GB2312"/>
          <w:sz w:val="30"/>
          <w:szCs w:val="30"/>
        </w:rPr>
        <w:t>费。因公出国（境）费，指单位公务出国（境）的国际旅费、国外城市间交通费、住宿费、伙食费、培训费、公杂费等支出。公务用车购置费，指公务用车购置支出（含车辆购置税、拍照费）；公务用车运行维护费，指单位按规定保留的公务用车燃料费、维修费、过路过桥费、保险费、安全奖励费用等支出。公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接待</w:t>
      </w:r>
      <w:r>
        <w:rPr>
          <w:rFonts w:hint="eastAsia" w:ascii="仿宋_GB2312" w:eastAsia="仿宋_GB2312"/>
          <w:sz w:val="30"/>
          <w:szCs w:val="30"/>
        </w:rPr>
        <w:t>费，指单位按规定开支的各类公务接待（含外宾接待）费用。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 “三公”经费决算数：指各级各部门（含下属单位）用一般公共预算财政拨款（含上年结转结余和当年预算）安排的因公出国（境）费、公务用车购置及运行维护费和公务接待费支出数，具体包括年初预算安排财政拨款预算支出数、年中财政追加预算安排支出数、以前年度财政拨款结转结余资金安排支出数。</w:t>
      </w:r>
    </w:p>
    <w:p>
      <w:pPr>
        <w:spacing w:line="60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 xml:space="preserve">    3、使用县级财政拨款安排“三公”经费的部门（单位）均纳入本表统计范围。县级各部门（单位）“三公”经费支出情况由部门（单位）在其部门（单位）门户网站及罗平县电子政务门户网“财政预决算信息专栏”公开，如需了解具体情况请与部门（单位）直接联系。</w:t>
      </w:r>
    </w:p>
    <w:p>
      <w:pPr>
        <w:spacing w:line="60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leftChars="2300" w:firstLine="602" w:firstLineChars="20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罗平县财政局</w:t>
      </w:r>
    </w:p>
    <w:p>
      <w:pPr>
        <w:ind w:leftChars="2300" w:firstLine="602" w:firstLineChars="200"/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2023年8月15日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NDZjYzRjODRjNTY0NjVhOTc3MWNhMGNmYTY2OTAifQ=="/>
  </w:docVars>
  <w:rsids>
    <w:rsidRoot w:val="4F306935"/>
    <w:rsid w:val="000242EE"/>
    <w:rsid w:val="0019295E"/>
    <w:rsid w:val="00205707"/>
    <w:rsid w:val="002B6245"/>
    <w:rsid w:val="00316EB3"/>
    <w:rsid w:val="003B318A"/>
    <w:rsid w:val="004D43AD"/>
    <w:rsid w:val="00520449"/>
    <w:rsid w:val="00574697"/>
    <w:rsid w:val="00595D51"/>
    <w:rsid w:val="00605F67"/>
    <w:rsid w:val="00622B26"/>
    <w:rsid w:val="0068422C"/>
    <w:rsid w:val="007D6532"/>
    <w:rsid w:val="00880E5A"/>
    <w:rsid w:val="008950E0"/>
    <w:rsid w:val="008C7223"/>
    <w:rsid w:val="009B368B"/>
    <w:rsid w:val="009E707E"/>
    <w:rsid w:val="00AF3B8A"/>
    <w:rsid w:val="00C71EEA"/>
    <w:rsid w:val="00D053E9"/>
    <w:rsid w:val="00D63D66"/>
    <w:rsid w:val="00D77950"/>
    <w:rsid w:val="00DD17F3"/>
    <w:rsid w:val="00EB3C82"/>
    <w:rsid w:val="00EC24D2"/>
    <w:rsid w:val="00F10959"/>
    <w:rsid w:val="00F55265"/>
    <w:rsid w:val="01A321C6"/>
    <w:rsid w:val="036E472D"/>
    <w:rsid w:val="07CA4FB3"/>
    <w:rsid w:val="0AE77430"/>
    <w:rsid w:val="20CD32E8"/>
    <w:rsid w:val="21E01763"/>
    <w:rsid w:val="26D31C88"/>
    <w:rsid w:val="26DA265D"/>
    <w:rsid w:val="27B84C43"/>
    <w:rsid w:val="28092CAC"/>
    <w:rsid w:val="29123C2F"/>
    <w:rsid w:val="293E7E80"/>
    <w:rsid w:val="2B87188E"/>
    <w:rsid w:val="2B9D495E"/>
    <w:rsid w:val="2CC57BD2"/>
    <w:rsid w:val="2E2B3832"/>
    <w:rsid w:val="2E58520C"/>
    <w:rsid w:val="2EBE3B5C"/>
    <w:rsid w:val="2EFE15C2"/>
    <w:rsid w:val="2F0260BB"/>
    <w:rsid w:val="2F1C5848"/>
    <w:rsid w:val="2F1C7FA5"/>
    <w:rsid w:val="326F0954"/>
    <w:rsid w:val="34817386"/>
    <w:rsid w:val="3482591D"/>
    <w:rsid w:val="35BC0350"/>
    <w:rsid w:val="37551131"/>
    <w:rsid w:val="377E1D4D"/>
    <w:rsid w:val="37EE0986"/>
    <w:rsid w:val="383B629A"/>
    <w:rsid w:val="39755785"/>
    <w:rsid w:val="3BB1721B"/>
    <w:rsid w:val="3CF36204"/>
    <w:rsid w:val="3D583D54"/>
    <w:rsid w:val="3DC84398"/>
    <w:rsid w:val="3FB13F27"/>
    <w:rsid w:val="45634419"/>
    <w:rsid w:val="46EA325E"/>
    <w:rsid w:val="49322CF1"/>
    <w:rsid w:val="4A1F27A7"/>
    <w:rsid w:val="4AFE1D3E"/>
    <w:rsid w:val="4CB460F4"/>
    <w:rsid w:val="4F306935"/>
    <w:rsid w:val="50D20BA2"/>
    <w:rsid w:val="518F54D9"/>
    <w:rsid w:val="51AE155A"/>
    <w:rsid w:val="525B1DBA"/>
    <w:rsid w:val="52971BAE"/>
    <w:rsid w:val="56E70839"/>
    <w:rsid w:val="5E8051A7"/>
    <w:rsid w:val="62026B1B"/>
    <w:rsid w:val="64A13486"/>
    <w:rsid w:val="66954711"/>
    <w:rsid w:val="673B4D97"/>
    <w:rsid w:val="68776372"/>
    <w:rsid w:val="6882710F"/>
    <w:rsid w:val="6AFE0B10"/>
    <w:rsid w:val="6B8234F1"/>
    <w:rsid w:val="6CBC140E"/>
    <w:rsid w:val="703E2CE1"/>
    <w:rsid w:val="71337B94"/>
    <w:rsid w:val="74277FDA"/>
    <w:rsid w:val="76675A92"/>
    <w:rsid w:val="76D244C5"/>
    <w:rsid w:val="7AA47286"/>
    <w:rsid w:val="7BD16A41"/>
    <w:rsid w:val="7BD621BF"/>
    <w:rsid w:val="7C8D46B3"/>
    <w:rsid w:val="7F096255"/>
    <w:rsid w:val="7F24741B"/>
    <w:rsid w:val="7F63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4</Pages>
  <Words>254</Words>
  <Characters>1452</Characters>
  <Lines>12</Lines>
  <Paragraphs>3</Paragraphs>
  <TotalTime>2</TotalTime>
  <ScaleCrop>false</ScaleCrop>
  <LinksUpToDate>false</LinksUpToDate>
  <CharactersWithSpaces>1703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2019-06-13T03:33:00Z</dcterms:created>
  <dc:creator>王艺涵</dc:creator>
  <cp:lastModifiedBy>任维彬</cp:lastModifiedBy>
  <cp:lastPrinted>2022-08-16T08:49:00Z</cp:lastPrinted>
  <dcterms:modified xsi:type="dcterms:W3CDTF">2024-02-01T09:01:30Z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B4D75843DF6F474D819746EAF3D277F3_13</vt:lpwstr>
  </property>
</Properties>
</file>